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945mrsaq57ev" w:id="0"/>
      <w:bookmarkEnd w:id="0"/>
      <w:r w:rsidDel="00000000" w:rsidR="00000000" w:rsidRPr="00000000">
        <w:rPr>
          <w:rtl w:val="0"/>
        </w:rPr>
        <w:t xml:space="preserve">Facilitation Guide: </w:t>
        <w:br w:type="textWrapping"/>
        <w:t xml:space="preserve">Systemic Change in Graduate Education: </w:t>
        <w:br w:type="textWrapping"/>
        <w:t xml:space="preserve">Designing for Equity</w:t>
      </w:r>
    </w:p>
    <w:p w:rsidR="00000000" w:rsidDel="00000000" w:rsidP="00000000" w:rsidRDefault="00000000" w:rsidRPr="00000000" w14:paraId="00000002">
      <w:pPr>
        <w:rPr>
          <w:highlight w:val="white"/>
        </w:rPr>
      </w:pPr>
      <w:r w:rsidDel="00000000" w:rsidR="00000000" w:rsidRPr="00000000">
        <w:rPr>
          <w:highlight w:val="white"/>
          <w:rtl w:val="0"/>
        </w:rPr>
        <w:t xml:space="preserve">Reform sometimes gets a bad reputation — and for good reason. Decades of research finds that reform-minded change in organizations rarely leads to outcomes that can be sustained over time. And, when the desired outcome is related to equity, diversity, justice, or inclusion goals, reform efforts can be counterproductive if members do not also engage with underlying cultural tensions. This two-hour workshop is for leaders who are ready to go deeper with change— who want to collaboratively explore possibilities for redesigning the practices and systems by which we select and serve graduate students. Facilitators will lead us in 1) reflection about positive case studies of Ph.D. programs that have realized systemic change, 2) discussion about the applications to our own programs, and 2) planning to address a concrete equity challenge from a systemic perspective.</w:t>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b w:val="1"/>
          <w:highlight w:val="white"/>
        </w:rPr>
      </w:pPr>
      <w:r w:rsidDel="00000000" w:rsidR="00000000" w:rsidRPr="00000000">
        <w:rPr>
          <w:b w:val="1"/>
          <w:highlight w:val="white"/>
          <w:rtl w:val="0"/>
        </w:rPr>
        <w:t xml:space="preserve">Objectives:</w:t>
      </w:r>
    </w:p>
    <w:p w:rsidR="00000000" w:rsidDel="00000000" w:rsidP="00000000" w:rsidRDefault="00000000" w:rsidRPr="00000000" w14:paraId="00000005">
      <w:pPr>
        <w:spacing w:line="276" w:lineRule="auto"/>
        <w:rPr>
          <w:highlight w:val="white"/>
        </w:rPr>
      </w:pPr>
      <w:r w:rsidDel="00000000" w:rsidR="00000000" w:rsidRPr="00000000">
        <w:rPr>
          <w:rtl w:val="0"/>
        </w:rPr>
      </w:r>
    </w:p>
    <w:p w:rsidR="00000000" w:rsidDel="00000000" w:rsidP="00000000" w:rsidRDefault="00000000" w:rsidRPr="00000000" w14:paraId="00000006">
      <w:pPr>
        <w:widowControl w:val="0"/>
        <w:numPr>
          <w:ilvl w:val="0"/>
          <w:numId w:val="2"/>
        </w:numPr>
        <w:spacing w:line="276" w:lineRule="auto"/>
        <w:ind w:left="720" w:hanging="420"/>
        <w:rPr>
          <w:sz w:val="22"/>
          <w:szCs w:val="22"/>
        </w:rPr>
      </w:pPr>
      <w:r w:rsidDel="00000000" w:rsidR="00000000" w:rsidRPr="00000000">
        <w:rPr>
          <w:rtl w:val="0"/>
        </w:rPr>
        <w:t xml:space="preserve">Understand the roles of culture &amp; system change in equity in graduate education.</w:t>
      </w:r>
      <w:r w:rsidDel="00000000" w:rsidR="00000000" w:rsidRPr="00000000">
        <w:rPr>
          <w:rtl w:val="0"/>
        </w:rPr>
      </w:r>
    </w:p>
    <w:p w:rsidR="00000000" w:rsidDel="00000000" w:rsidP="00000000" w:rsidRDefault="00000000" w:rsidRPr="00000000" w14:paraId="00000007">
      <w:pPr>
        <w:widowControl w:val="0"/>
        <w:numPr>
          <w:ilvl w:val="0"/>
          <w:numId w:val="2"/>
        </w:numPr>
        <w:spacing w:line="276" w:lineRule="auto"/>
        <w:ind w:left="720" w:hanging="420"/>
        <w:rPr>
          <w:sz w:val="22"/>
          <w:szCs w:val="22"/>
        </w:rPr>
      </w:pPr>
      <w:r w:rsidDel="00000000" w:rsidR="00000000" w:rsidRPr="00000000">
        <w:rPr>
          <w:rtl w:val="0"/>
        </w:rPr>
        <w:t xml:space="preserve">Appreciate systemic relationships among domains of faculty practice.</w:t>
      </w:r>
      <w:r w:rsidDel="00000000" w:rsidR="00000000" w:rsidRPr="00000000">
        <w:rPr>
          <w:rtl w:val="0"/>
        </w:rPr>
      </w:r>
    </w:p>
    <w:p w:rsidR="00000000" w:rsidDel="00000000" w:rsidP="00000000" w:rsidRDefault="00000000" w:rsidRPr="00000000" w14:paraId="00000008">
      <w:pPr>
        <w:widowControl w:val="0"/>
        <w:numPr>
          <w:ilvl w:val="0"/>
          <w:numId w:val="2"/>
        </w:numPr>
        <w:spacing w:line="276" w:lineRule="auto"/>
        <w:ind w:left="720" w:hanging="420"/>
        <w:rPr>
          <w:sz w:val="22"/>
          <w:szCs w:val="22"/>
        </w:rPr>
      </w:pPr>
      <w:r w:rsidDel="00000000" w:rsidR="00000000" w:rsidRPr="00000000">
        <w:rPr>
          <w:rtl w:val="0"/>
        </w:rPr>
        <w:t xml:space="preserve">Reflect on cases of PhD programs that have realized deep change.</w:t>
      </w:r>
      <w:r w:rsidDel="00000000" w:rsidR="00000000" w:rsidRPr="00000000">
        <w:rPr>
          <w:rtl w:val="0"/>
        </w:rPr>
      </w:r>
    </w:p>
    <w:p w:rsidR="00000000" w:rsidDel="00000000" w:rsidP="00000000" w:rsidRDefault="00000000" w:rsidRPr="00000000" w14:paraId="00000009">
      <w:pPr>
        <w:widowControl w:val="0"/>
        <w:numPr>
          <w:ilvl w:val="0"/>
          <w:numId w:val="2"/>
        </w:numPr>
        <w:spacing w:line="276" w:lineRule="auto"/>
        <w:ind w:left="720" w:hanging="420"/>
        <w:rPr>
          <w:sz w:val="22"/>
          <w:szCs w:val="22"/>
        </w:rPr>
      </w:pPr>
      <w:r w:rsidDel="00000000" w:rsidR="00000000" w:rsidRPr="00000000">
        <w:rPr>
          <w:rtl w:val="0"/>
        </w:rPr>
        <w:t xml:space="preserve">Apply lessons toward a coordinated approach to change in your own program or department.</w:t>
      </w:r>
    </w:p>
    <w:p w:rsidR="00000000" w:rsidDel="00000000" w:rsidP="00000000" w:rsidRDefault="00000000" w:rsidRPr="00000000" w14:paraId="0000000A">
      <w:pPr>
        <w:widowControl w:val="0"/>
        <w:spacing w:line="276" w:lineRule="auto"/>
        <w:rPr/>
      </w:pPr>
      <w:r w:rsidDel="00000000" w:rsidR="00000000" w:rsidRPr="00000000">
        <w:rPr>
          <w:rtl w:val="0"/>
        </w:rPr>
      </w:r>
    </w:p>
    <w:p w:rsidR="00000000" w:rsidDel="00000000" w:rsidP="00000000" w:rsidRDefault="00000000" w:rsidRPr="00000000" w14:paraId="0000000B">
      <w:pPr>
        <w:widowControl w:val="0"/>
        <w:spacing w:line="276" w:lineRule="auto"/>
        <w:rPr>
          <w:b w:val="1"/>
        </w:rPr>
      </w:pPr>
      <w:r w:rsidDel="00000000" w:rsidR="00000000" w:rsidRPr="00000000">
        <w:rPr>
          <w:b w:val="1"/>
          <w:rtl w:val="0"/>
        </w:rPr>
        <w:t xml:space="preserve">Major activities and expected timing:</w:t>
      </w:r>
    </w:p>
    <w:p w:rsidR="00000000" w:rsidDel="00000000" w:rsidP="00000000" w:rsidRDefault="00000000" w:rsidRPr="00000000" w14:paraId="0000000C">
      <w:pPr>
        <w:widowControl w:val="0"/>
        <w:numPr>
          <w:ilvl w:val="0"/>
          <w:numId w:val="3"/>
        </w:numPr>
        <w:spacing w:line="276" w:lineRule="auto"/>
        <w:ind w:left="720" w:hanging="360"/>
        <w:rPr>
          <w:b w:val="1"/>
        </w:rPr>
      </w:pPr>
      <w:r w:rsidDel="00000000" w:rsidR="00000000" w:rsidRPr="00000000">
        <w:rPr>
          <w:b w:val="1"/>
          <w:rtl w:val="0"/>
        </w:rPr>
        <w:t xml:space="preserve">Introduction, including objectives &amp; norms (10 min)</w:t>
      </w:r>
    </w:p>
    <w:p w:rsidR="00000000" w:rsidDel="00000000" w:rsidP="00000000" w:rsidRDefault="00000000" w:rsidRPr="00000000" w14:paraId="0000000D">
      <w:pPr>
        <w:widowControl w:val="0"/>
        <w:spacing w:line="276" w:lineRule="auto"/>
        <w:ind w:left="720" w:firstLine="0"/>
        <w:rPr>
          <w:b w:val="1"/>
        </w:rPr>
      </w:pPr>
      <w:r w:rsidDel="00000000" w:rsidR="00000000" w:rsidRPr="00000000">
        <w:rPr>
          <w:rtl w:val="0"/>
        </w:rPr>
      </w:r>
    </w:p>
    <w:p w:rsidR="00000000" w:rsidDel="00000000" w:rsidP="00000000" w:rsidRDefault="00000000" w:rsidRPr="00000000" w14:paraId="0000000E">
      <w:pPr>
        <w:widowControl w:val="0"/>
        <w:numPr>
          <w:ilvl w:val="0"/>
          <w:numId w:val="3"/>
        </w:numPr>
        <w:spacing w:line="276" w:lineRule="auto"/>
        <w:ind w:left="720" w:hanging="360"/>
        <w:rPr>
          <w:b w:val="1"/>
        </w:rPr>
      </w:pPr>
      <w:r w:rsidDel="00000000" w:rsidR="00000000" w:rsidRPr="00000000">
        <w:rPr>
          <w:b w:val="1"/>
          <w:rtl w:val="0"/>
        </w:rPr>
        <w:t xml:space="preserve">Shared language (15 min, including questions)</w:t>
      </w:r>
    </w:p>
    <w:p w:rsidR="00000000" w:rsidDel="00000000" w:rsidP="00000000" w:rsidRDefault="00000000" w:rsidRPr="00000000" w14:paraId="0000000F">
      <w:pPr>
        <w:widowControl w:val="0"/>
        <w:numPr>
          <w:ilvl w:val="1"/>
          <w:numId w:val="3"/>
        </w:numPr>
        <w:spacing w:line="276" w:lineRule="auto"/>
        <w:ind w:left="1440" w:hanging="360"/>
        <w:rPr>
          <w:b w:val="1"/>
        </w:rPr>
      </w:pPr>
      <w:r w:rsidDel="00000000" w:rsidR="00000000" w:rsidRPr="00000000">
        <w:rPr>
          <w:b w:val="1"/>
          <w:rtl w:val="0"/>
        </w:rPr>
        <w:t xml:space="preserve">Activity 1: </w:t>
      </w:r>
      <w:r w:rsidDel="00000000" w:rsidR="00000000" w:rsidRPr="00000000">
        <w:rPr>
          <w:rtl w:val="0"/>
        </w:rPr>
        <w:t xml:space="preserve">What does equity mean to you? (Poll or Jamboard)</w:t>
      </w:r>
    </w:p>
    <w:p w:rsidR="00000000" w:rsidDel="00000000" w:rsidP="00000000" w:rsidRDefault="00000000" w:rsidRPr="00000000" w14:paraId="00000010">
      <w:pPr>
        <w:widowControl w:val="0"/>
        <w:numPr>
          <w:ilvl w:val="1"/>
          <w:numId w:val="3"/>
        </w:numPr>
        <w:spacing w:line="276" w:lineRule="auto"/>
        <w:ind w:left="1440" w:hanging="360"/>
        <w:rPr>
          <w:b w:val="1"/>
        </w:rPr>
      </w:pPr>
      <w:r w:rsidDel="00000000" w:rsidR="00000000" w:rsidRPr="00000000">
        <w:rPr>
          <w:b w:val="1"/>
          <w:rtl w:val="0"/>
        </w:rPr>
        <w:t xml:space="preserve">Poll 1: </w:t>
      </w:r>
      <w:r w:rsidDel="00000000" w:rsidR="00000000" w:rsidRPr="00000000">
        <w:rPr>
          <w:rtl w:val="0"/>
        </w:rPr>
        <w:t xml:space="preserve">What is the central goal of graduate education, currently? </w:t>
      </w:r>
    </w:p>
    <w:p w:rsidR="00000000" w:rsidDel="00000000" w:rsidP="00000000" w:rsidRDefault="00000000" w:rsidRPr="00000000" w14:paraId="00000011">
      <w:pPr>
        <w:widowControl w:val="0"/>
        <w:numPr>
          <w:ilvl w:val="2"/>
          <w:numId w:val="3"/>
        </w:numPr>
        <w:spacing w:line="245.45448" w:lineRule="auto"/>
        <w:ind w:left="2160" w:hanging="360"/>
        <w:rPr/>
      </w:pPr>
      <w:r w:rsidDel="00000000" w:rsidR="00000000" w:rsidRPr="00000000">
        <w:rPr>
          <w:rtl w:val="0"/>
        </w:rPr>
        <w:t xml:space="preserve">Producing the next generation of faculty</w:t>
      </w:r>
      <w:r w:rsidDel="00000000" w:rsidR="00000000" w:rsidRPr="00000000">
        <w:rPr>
          <w:rtl w:val="0"/>
        </w:rPr>
      </w:r>
    </w:p>
    <w:p w:rsidR="00000000" w:rsidDel="00000000" w:rsidP="00000000" w:rsidRDefault="00000000" w:rsidRPr="00000000" w14:paraId="00000012">
      <w:pPr>
        <w:widowControl w:val="0"/>
        <w:numPr>
          <w:ilvl w:val="2"/>
          <w:numId w:val="3"/>
        </w:numPr>
        <w:spacing w:line="245.45448" w:lineRule="auto"/>
        <w:ind w:left="2160" w:hanging="360"/>
        <w:rPr/>
      </w:pPr>
      <w:r w:rsidDel="00000000" w:rsidR="00000000" w:rsidRPr="00000000">
        <w:rPr>
          <w:rtl w:val="0"/>
        </w:rPr>
        <w:t xml:space="preserve">Student learning</w:t>
      </w:r>
      <w:r w:rsidDel="00000000" w:rsidR="00000000" w:rsidRPr="00000000">
        <w:rPr>
          <w:rtl w:val="0"/>
        </w:rPr>
      </w:r>
    </w:p>
    <w:p w:rsidR="00000000" w:rsidDel="00000000" w:rsidP="00000000" w:rsidRDefault="00000000" w:rsidRPr="00000000" w14:paraId="00000013">
      <w:pPr>
        <w:widowControl w:val="0"/>
        <w:numPr>
          <w:ilvl w:val="2"/>
          <w:numId w:val="3"/>
        </w:numPr>
        <w:spacing w:line="245.45448" w:lineRule="auto"/>
        <w:ind w:left="2160" w:hanging="360"/>
        <w:rPr/>
      </w:pPr>
      <w:r w:rsidDel="00000000" w:rsidR="00000000" w:rsidRPr="00000000">
        <w:rPr>
          <w:rtl w:val="0"/>
        </w:rPr>
        <w:t xml:space="preserve">Advancing disciplines &amp; fields of study</w:t>
      </w:r>
      <w:r w:rsidDel="00000000" w:rsidR="00000000" w:rsidRPr="00000000">
        <w:rPr>
          <w:rtl w:val="0"/>
        </w:rPr>
      </w:r>
    </w:p>
    <w:p w:rsidR="00000000" w:rsidDel="00000000" w:rsidP="00000000" w:rsidRDefault="00000000" w:rsidRPr="00000000" w14:paraId="00000014">
      <w:pPr>
        <w:widowControl w:val="0"/>
        <w:numPr>
          <w:ilvl w:val="2"/>
          <w:numId w:val="3"/>
        </w:numPr>
        <w:spacing w:line="245.45448" w:lineRule="auto"/>
        <w:ind w:left="2160" w:hanging="360"/>
        <w:rPr/>
      </w:pPr>
      <w:r w:rsidDel="00000000" w:rsidR="00000000" w:rsidRPr="00000000">
        <w:rPr>
          <w:rtl w:val="0"/>
        </w:rPr>
        <w:t xml:space="preserve">Research and teaching assistance for faculty</w:t>
      </w:r>
      <w:r w:rsidDel="00000000" w:rsidR="00000000" w:rsidRPr="00000000">
        <w:rPr>
          <w:rtl w:val="0"/>
        </w:rPr>
      </w:r>
    </w:p>
    <w:p w:rsidR="00000000" w:rsidDel="00000000" w:rsidP="00000000" w:rsidRDefault="00000000" w:rsidRPr="00000000" w14:paraId="00000015">
      <w:pPr>
        <w:widowControl w:val="0"/>
        <w:spacing w:line="276" w:lineRule="auto"/>
        <w:ind w:left="2160" w:firstLine="0"/>
        <w:rPr>
          <w:b w:val="1"/>
        </w:rPr>
      </w:pPr>
      <w:r w:rsidDel="00000000" w:rsidR="00000000" w:rsidRPr="00000000">
        <w:rPr>
          <w:rtl w:val="0"/>
        </w:rPr>
      </w:r>
    </w:p>
    <w:p w:rsidR="00000000" w:rsidDel="00000000" w:rsidP="00000000" w:rsidRDefault="00000000" w:rsidRPr="00000000" w14:paraId="00000016">
      <w:pPr>
        <w:widowControl w:val="0"/>
        <w:numPr>
          <w:ilvl w:val="0"/>
          <w:numId w:val="3"/>
        </w:numPr>
        <w:spacing w:line="276" w:lineRule="auto"/>
        <w:ind w:left="720" w:hanging="360"/>
        <w:rPr>
          <w:b w:val="1"/>
        </w:rPr>
      </w:pPr>
      <w:r w:rsidDel="00000000" w:rsidR="00000000" w:rsidRPr="00000000">
        <w:rPr>
          <w:b w:val="1"/>
          <w:rtl w:val="0"/>
        </w:rPr>
        <w:t xml:space="preserve">Case studies of change in PhD programs (40 min, total)</w:t>
      </w:r>
    </w:p>
    <w:p w:rsidR="00000000" w:rsidDel="00000000" w:rsidP="00000000" w:rsidRDefault="00000000" w:rsidRPr="00000000" w14:paraId="00000017">
      <w:pPr>
        <w:widowControl w:val="0"/>
        <w:numPr>
          <w:ilvl w:val="1"/>
          <w:numId w:val="3"/>
        </w:numPr>
        <w:spacing w:line="240" w:lineRule="auto"/>
        <w:ind w:left="1440" w:hanging="360"/>
        <w:rPr>
          <w:b w:val="1"/>
        </w:rPr>
      </w:pPr>
      <w:r w:rsidDel="00000000" w:rsidR="00000000" w:rsidRPr="00000000">
        <w:rPr>
          <w:rtl w:val="0"/>
        </w:rPr>
        <w:t xml:space="preserve">We recognize the storytelling aspect of sharing case studies can be challenging. You can present the cases in one of two ways: </w:t>
      </w:r>
    </w:p>
    <w:p w:rsidR="00000000" w:rsidDel="00000000" w:rsidP="00000000" w:rsidRDefault="00000000" w:rsidRPr="00000000" w14:paraId="00000018">
      <w:pPr>
        <w:widowControl w:val="0"/>
        <w:numPr>
          <w:ilvl w:val="0"/>
          <w:numId w:val="4"/>
        </w:numPr>
        <w:spacing w:line="240" w:lineRule="auto"/>
        <w:ind w:left="1440" w:hanging="360"/>
        <w:rPr>
          <w:sz w:val="22"/>
          <w:szCs w:val="22"/>
        </w:rPr>
      </w:pPr>
      <w:r w:rsidDel="00000000" w:rsidR="00000000" w:rsidRPr="00000000">
        <w:rPr>
          <w:rtl w:val="0"/>
        </w:rPr>
        <w:t xml:space="preserve">Slide notes contain a narrative that you may choose to present in your own words aloud</w:t>
      </w:r>
    </w:p>
    <w:p w:rsidR="00000000" w:rsidDel="00000000" w:rsidP="00000000" w:rsidRDefault="00000000" w:rsidRPr="00000000" w14:paraId="00000019">
      <w:pPr>
        <w:widowControl w:val="0"/>
        <w:numPr>
          <w:ilvl w:val="0"/>
          <w:numId w:val="4"/>
        </w:numPr>
        <w:spacing w:line="240" w:lineRule="auto"/>
        <w:ind w:left="1440" w:hanging="360"/>
        <w:rPr>
          <w:sz w:val="22"/>
          <w:szCs w:val="22"/>
        </w:rPr>
      </w:pPr>
      <w:hyperlink r:id="rId6">
        <w:r w:rsidDel="00000000" w:rsidR="00000000" w:rsidRPr="00000000">
          <w:rPr>
            <w:color w:val="1155cc"/>
            <w:u w:val="single"/>
            <w:rtl w:val="0"/>
          </w:rPr>
          <w:t xml:space="preserve">This document </w:t>
        </w:r>
      </w:hyperlink>
      <w:r w:rsidDel="00000000" w:rsidR="00000000" w:rsidRPr="00000000">
        <w:rPr>
          <w:rtl w:val="0"/>
        </w:rPr>
        <w:t xml:space="preserve">contains the same narrative, and you can  make it available via chat or handout, then go right into breakout rooms where participants to read to themselves (or aloud to one another) and discuss the questions on slide 31.</w:t>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t xml:space="preserve">If you choose to do the latter, you will probably want to introduce the figure on slide 20 before going into breakout rooms.</w:t>
      </w:r>
    </w:p>
    <w:p w:rsidR="00000000" w:rsidDel="00000000" w:rsidP="00000000" w:rsidRDefault="00000000" w:rsidRPr="00000000" w14:paraId="0000001B">
      <w:pPr>
        <w:widowControl w:val="0"/>
        <w:numPr>
          <w:ilvl w:val="0"/>
          <w:numId w:val="1"/>
        </w:numPr>
        <w:spacing w:line="240" w:lineRule="auto"/>
        <w:ind w:left="1440" w:hanging="360"/>
        <w:rPr>
          <w:u w:val="none"/>
        </w:rPr>
      </w:pPr>
      <w:r w:rsidDel="00000000" w:rsidR="00000000" w:rsidRPr="00000000">
        <w:rPr>
          <w:b w:val="1"/>
          <w:rtl w:val="0"/>
        </w:rPr>
        <w:t xml:space="preserve">Poll 2: </w:t>
      </w:r>
      <w:r w:rsidDel="00000000" w:rsidR="00000000" w:rsidRPr="00000000">
        <w:rPr>
          <w:rtl w:val="0"/>
        </w:rPr>
        <w:t xml:space="preserve">Which organizational learning type best describes this case?</w:t>
      </w:r>
    </w:p>
    <w:p w:rsidR="00000000" w:rsidDel="00000000" w:rsidP="00000000" w:rsidRDefault="00000000" w:rsidRPr="00000000" w14:paraId="0000001C">
      <w:pPr>
        <w:widowControl w:val="0"/>
        <w:numPr>
          <w:ilvl w:val="1"/>
          <w:numId w:val="1"/>
        </w:numPr>
        <w:spacing w:line="240" w:lineRule="auto"/>
        <w:ind w:left="2160" w:hanging="360"/>
        <w:rPr>
          <w:u w:val="none"/>
        </w:rPr>
      </w:pPr>
      <w:r w:rsidDel="00000000" w:rsidR="00000000" w:rsidRPr="00000000">
        <w:rPr>
          <w:rtl w:val="0"/>
        </w:rPr>
        <w:t xml:space="preserve">Single-loop learning</w:t>
      </w:r>
    </w:p>
    <w:p w:rsidR="00000000" w:rsidDel="00000000" w:rsidP="00000000" w:rsidRDefault="00000000" w:rsidRPr="00000000" w14:paraId="0000001D">
      <w:pPr>
        <w:widowControl w:val="0"/>
        <w:numPr>
          <w:ilvl w:val="1"/>
          <w:numId w:val="1"/>
        </w:numPr>
        <w:spacing w:line="240" w:lineRule="auto"/>
        <w:ind w:left="2160" w:hanging="360"/>
        <w:rPr>
          <w:u w:val="none"/>
        </w:rPr>
      </w:pPr>
      <w:r w:rsidDel="00000000" w:rsidR="00000000" w:rsidRPr="00000000">
        <w:rPr>
          <w:rtl w:val="0"/>
        </w:rPr>
        <w:t xml:space="preserve">Double-loop learning</w:t>
      </w:r>
    </w:p>
    <w:p w:rsidR="00000000" w:rsidDel="00000000" w:rsidP="00000000" w:rsidRDefault="00000000" w:rsidRPr="00000000" w14:paraId="0000001E">
      <w:pPr>
        <w:widowControl w:val="0"/>
        <w:numPr>
          <w:ilvl w:val="0"/>
          <w:numId w:val="1"/>
        </w:numPr>
        <w:spacing w:line="240" w:lineRule="auto"/>
        <w:ind w:left="1440" w:hanging="360"/>
        <w:rPr>
          <w:u w:val="none"/>
        </w:rPr>
      </w:pPr>
      <w:r w:rsidDel="00000000" w:rsidR="00000000" w:rsidRPr="00000000">
        <w:rPr>
          <w:b w:val="1"/>
          <w:rtl w:val="0"/>
        </w:rPr>
        <w:t xml:space="preserve">Activity 2: </w:t>
      </w:r>
      <w:r w:rsidDel="00000000" w:rsidR="00000000" w:rsidRPr="00000000">
        <w:rPr>
          <w:rtl w:val="0"/>
        </w:rPr>
        <w:t xml:space="preserve">Discuss case studies in 20-min breakout rooms</w:t>
      </w:r>
    </w:p>
    <w:p w:rsidR="00000000" w:rsidDel="00000000" w:rsidP="00000000" w:rsidRDefault="00000000" w:rsidRPr="00000000" w14:paraId="0000001F">
      <w:pPr>
        <w:widowControl w:val="0"/>
        <w:spacing w:line="240" w:lineRule="auto"/>
        <w:ind w:left="1440" w:firstLine="0"/>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270"/>
        <w:rPr>
          <w:b w:val="1"/>
        </w:rPr>
      </w:pPr>
      <w:r w:rsidDel="00000000" w:rsidR="00000000" w:rsidRPr="00000000">
        <w:rPr>
          <w:b w:val="1"/>
          <w:rtl w:val="0"/>
        </w:rPr>
        <w:t xml:space="preserve">Applications (40 min, total including questions/ discussion)</w:t>
      </w:r>
    </w:p>
    <w:p w:rsidR="00000000" w:rsidDel="00000000" w:rsidP="00000000" w:rsidRDefault="00000000" w:rsidRPr="00000000" w14:paraId="00000021">
      <w:pPr>
        <w:widowControl w:val="0"/>
        <w:numPr>
          <w:ilvl w:val="1"/>
          <w:numId w:val="1"/>
        </w:numPr>
        <w:spacing w:line="240" w:lineRule="auto"/>
        <w:ind w:left="1530" w:hanging="450"/>
        <w:rPr>
          <w:b w:val="1"/>
        </w:rPr>
      </w:pPr>
      <w:r w:rsidDel="00000000" w:rsidR="00000000" w:rsidRPr="00000000">
        <w:rPr>
          <w:b w:val="1"/>
          <w:rtl w:val="0"/>
        </w:rPr>
        <w:t xml:space="preserve">Activity 3: </w:t>
      </w:r>
      <w:r w:rsidDel="00000000" w:rsidR="00000000" w:rsidRPr="00000000">
        <w:rPr>
          <w:rtl w:val="0"/>
        </w:rPr>
        <w:t xml:space="preserve">Driver diagram planning in 25-min breakout rooms</w:t>
      </w:r>
    </w:p>
    <w:p w:rsidR="00000000" w:rsidDel="00000000" w:rsidP="00000000" w:rsidRDefault="00000000" w:rsidRPr="00000000" w14:paraId="00000022">
      <w:pPr>
        <w:widowControl w:val="0"/>
        <w:spacing w:line="240" w:lineRule="auto"/>
        <w:ind w:left="2160" w:firstLine="0"/>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810" w:hanging="270"/>
        <w:rPr>
          <w:b w:val="1"/>
        </w:rPr>
      </w:pPr>
      <w:r w:rsidDel="00000000" w:rsidR="00000000" w:rsidRPr="00000000">
        <w:rPr>
          <w:b w:val="1"/>
          <w:rtl w:val="0"/>
        </w:rPr>
        <w:t xml:space="preserve">Conclusions (15 min)</w:t>
      </w:r>
    </w:p>
    <w:p w:rsidR="00000000" w:rsidDel="00000000" w:rsidP="00000000" w:rsidRDefault="00000000" w:rsidRPr="00000000" w14:paraId="00000024">
      <w:pPr>
        <w:widowControl w:val="0"/>
        <w:spacing w:line="276"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rXEGkQEMIDQdvcg5AAZSy5frw0A1W722suyRuRxf8d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